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6319" w14:textId="268FC4D1" w:rsidR="00931D7B" w:rsidRPr="007F0AD0" w:rsidRDefault="00931D7B" w:rsidP="007F0AD0">
      <w:pPr>
        <w:pStyle w:val="Caption"/>
        <w:jc w:val="center"/>
      </w:pPr>
      <w:r w:rsidRPr="00931D7B">
        <w:t>IN THE UNITED STATES DISTRICT COURT</w:t>
      </w:r>
    </w:p>
    <w:p w14:paraId="51C4928B" w14:textId="77777777" w:rsidR="00931D7B" w:rsidRPr="00931D7B" w:rsidRDefault="00931D7B" w:rsidP="00931D7B">
      <w:pPr>
        <w:pStyle w:val="NoSpacing"/>
        <w:jc w:val="center"/>
      </w:pPr>
      <w:r w:rsidRPr="00931D7B">
        <w:t>FOR THE DISTRICT OF SOUTH CAROLINA</w:t>
      </w:r>
    </w:p>
    <w:p w14:paraId="381F4358" w14:textId="77777777" w:rsidR="007F0AD0" w:rsidRDefault="007F0AD0" w:rsidP="007F0AD0">
      <w:pPr>
        <w:pStyle w:val="NoSpacing"/>
        <w:jc w:val="center"/>
      </w:pPr>
    </w:p>
    <w:p w14:paraId="462E4915" w14:textId="77777777" w:rsidR="00347E3E" w:rsidRDefault="00347E3E" w:rsidP="007F0AD0">
      <w:pPr>
        <w:pStyle w:val="NoSpacing"/>
        <w:jc w:val="center"/>
      </w:pPr>
    </w:p>
    <w:p w14:paraId="0D4F7DE8" w14:textId="77777777" w:rsidR="00347E3E" w:rsidRPr="00931D7B" w:rsidRDefault="00347E3E" w:rsidP="007F0AD0">
      <w:pPr>
        <w:pStyle w:val="NoSpacing"/>
        <w:jc w:val="center"/>
      </w:pPr>
    </w:p>
    <w:tbl>
      <w:tblPr>
        <w:tblW w:w="9558" w:type="dxa"/>
        <w:tblBorders>
          <w:insideH w:val="single" w:sz="4" w:space="0" w:color="auto"/>
        </w:tblBorders>
        <w:tblLayout w:type="fixed"/>
        <w:tblLook w:val="0000" w:firstRow="0" w:lastRow="0" w:firstColumn="0" w:lastColumn="0" w:noHBand="0" w:noVBand="0"/>
      </w:tblPr>
      <w:tblGrid>
        <w:gridCol w:w="4788"/>
        <w:gridCol w:w="4770"/>
      </w:tblGrid>
      <w:tr w:rsidR="001224EF" w:rsidRPr="00C30125" w14:paraId="52287E90" w14:textId="77777777" w:rsidTr="001560FB">
        <w:tc>
          <w:tcPr>
            <w:tcW w:w="4788" w:type="dxa"/>
            <w:tcBorders>
              <w:top w:val="nil"/>
              <w:bottom w:val="single" w:sz="4" w:space="0" w:color="auto"/>
              <w:right w:val="single" w:sz="4" w:space="0" w:color="auto"/>
            </w:tcBorders>
            <w:shd w:val="clear" w:color="auto" w:fill="auto"/>
          </w:tcPr>
          <w:p w14:paraId="6709FFC0" w14:textId="183BFD4C" w:rsidR="001224EF" w:rsidRPr="00C30125" w:rsidRDefault="00F44EA6" w:rsidP="00F44EA6">
            <w:pPr>
              <w:widowControl w:val="0"/>
              <w:spacing w:line="276" w:lineRule="auto"/>
              <w:ind w:right="342"/>
              <w:jc w:val="left"/>
              <w:rPr>
                <w:bCs/>
              </w:rPr>
            </w:pPr>
            <w:bookmarkStart w:id="0" w:name="_zzmpFIXED_CaptionTable"/>
            <w:r>
              <w:rPr>
                <w:bCs/>
              </w:rPr>
              <w:t xml:space="preserve">JUDGE </w:t>
            </w:r>
            <w:r w:rsidR="001D51DE">
              <w:rPr>
                <w:bCs/>
              </w:rPr>
              <w:t>DAWSON</w:t>
            </w:r>
            <w:r>
              <w:rPr>
                <w:bCs/>
              </w:rPr>
              <w:t xml:space="preserve">’S </w:t>
            </w:r>
            <w:r w:rsidR="0000327D">
              <w:rPr>
                <w:bCs/>
              </w:rPr>
              <w:t xml:space="preserve">AMENDED </w:t>
            </w:r>
            <w:r w:rsidR="00B1441B">
              <w:rPr>
                <w:bCs/>
              </w:rPr>
              <w:t>STANDING ORDER REGARDING</w:t>
            </w:r>
            <w:r>
              <w:rPr>
                <w:bCs/>
              </w:rPr>
              <w:t xml:space="preserve"> </w:t>
            </w:r>
            <w:r w:rsidR="00EF12B3">
              <w:t>RULE 11(c)(2), FEDERAL RULE</w:t>
            </w:r>
            <w:r w:rsidR="00AA2717">
              <w:t>S</w:t>
            </w:r>
            <w:r w:rsidR="00EF12B3">
              <w:t xml:space="preserve"> OF CRIMINAL PROCEDURE</w:t>
            </w:r>
          </w:p>
        </w:tc>
        <w:tc>
          <w:tcPr>
            <w:tcW w:w="4770" w:type="dxa"/>
            <w:tcBorders>
              <w:top w:val="nil"/>
              <w:left w:val="single" w:sz="4" w:space="0" w:color="auto"/>
            </w:tcBorders>
            <w:shd w:val="clear" w:color="auto" w:fill="auto"/>
          </w:tcPr>
          <w:p w14:paraId="68E91DC8" w14:textId="745304C7" w:rsidR="001224EF" w:rsidRPr="00C30125" w:rsidRDefault="001224EF" w:rsidP="001B1ECB">
            <w:pPr>
              <w:widowControl w:val="0"/>
              <w:tabs>
                <w:tab w:val="left" w:pos="792"/>
                <w:tab w:val="left" w:pos="1238"/>
              </w:tabs>
              <w:spacing w:line="276" w:lineRule="auto"/>
              <w:ind w:left="115" w:right="115" w:hanging="43"/>
              <w:jc w:val="center"/>
              <w:rPr>
                <w:b/>
                <w:bCs/>
              </w:rPr>
            </w:pPr>
            <w:r>
              <w:rPr>
                <w:b/>
                <w:bCs/>
              </w:rPr>
              <w:t xml:space="preserve"> </w:t>
            </w:r>
          </w:p>
        </w:tc>
      </w:tr>
      <w:bookmarkEnd w:id="0"/>
    </w:tbl>
    <w:p w14:paraId="6BFFDEFF" w14:textId="77777777" w:rsidR="00347E3E" w:rsidRDefault="00347E3E" w:rsidP="007F0AD0">
      <w:pPr>
        <w:pStyle w:val="Caption"/>
      </w:pPr>
    </w:p>
    <w:p w14:paraId="4CB4EDFC" w14:textId="5A0C9EC9" w:rsidR="008452CA" w:rsidRDefault="008452CA" w:rsidP="00D76608">
      <w:pPr>
        <w:ind w:firstLine="720"/>
        <w:rPr>
          <w:rStyle w:val="BlockQuoteChar"/>
        </w:rPr>
      </w:pPr>
      <w:r>
        <w:t xml:space="preserve">1. Rule 11(c)(2) provides terms of a Plea Agreement may be disclosed to the court </w:t>
      </w:r>
      <w:r w:rsidRPr="008452CA">
        <w:rPr>
          <w:i/>
          <w:iCs/>
        </w:rPr>
        <w:t>in camera</w:t>
      </w:r>
      <w:r>
        <w:t xml:space="preserve"> for good cause shown: “The parties must disclose the plea agreement in open court when the plea is offered, unless the court for good cause allows the parties to disclose the plea agreement in camera.”</w:t>
      </w:r>
      <w:r w:rsidR="00D76608">
        <w:rPr>
          <w:rStyle w:val="FootnoteReference"/>
        </w:rPr>
        <w:footnoteReference w:id="2"/>
      </w:r>
      <w:r>
        <w:t xml:space="preserve">   </w:t>
      </w:r>
    </w:p>
    <w:p w14:paraId="22A2654F" w14:textId="523D5F45" w:rsidR="008452CA" w:rsidRPr="009521CA" w:rsidRDefault="008452CA" w:rsidP="009521CA">
      <w:r>
        <w:rPr>
          <w:rStyle w:val="BlockQuoteChar"/>
        </w:rPr>
        <w:tab/>
        <w:t xml:space="preserve">2. </w:t>
      </w:r>
      <w:r w:rsidRPr="009521CA">
        <w:t xml:space="preserve">The Fourth Circuit has acknowledged that protection of cooperators is a compelling interest under the First Amendment. In </w:t>
      </w:r>
      <w:r w:rsidRPr="009521CA">
        <w:rPr>
          <w:i/>
          <w:iCs/>
        </w:rPr>
        <w:t>United States v. Doe</w:t>
      </w:r>
      <w:r w:rsidRPr="009521CA">
        <w:t>, 962 F.3d 139 (4th Cir. 2020), the Fourth Circuit found that “harm to cooperators does not only affect those individuals,” but that it also “</w:t>
      </w:r>
      <w:r w:rsidR="00FD5F31">
        <w:t>‘</w:t>
      </w:r>
      <w:r w:rsidRPr="009521CA">
        <w:t>threatens public safety’</w:t>
      </w:r>
      <w:r w:rsidR="009521CA" w:rsidRPr="009521CA">
        <w:t xml:space="preserve"> and ‘interferes with the gathering of evidence, the presentation of witnesses, and the sentencing and incarceration of cooperating defendants, . . . pos[</w:t>
      </w:r>
      <w:proofErr w:type="spellStart"/>
      <w:r w:rsidR="009521CA" w:rsidRPr="009521CA">
        <w:t>ing</w:t>
      </w:r>
      <w:proofErr w:type="spellEnd"/>
      <w:r w:rsidR="009521CA" w:rsidRPr="009521CA">
        <w:t xml:space="preserve">] a substantial threat to the underpinnings of the criminal justice system as a whole.’” </w:t>
      </w:r>
      <w:r w:rsidR="009521CA" w:rsidRPr="009521CA">
        <w:rPr>
          <w:i/>
          <w:iCs/>
        </w:rPr>
        <w:t>Id.</w:t>
      </w:r>
      <w:r w:rsidR="009521CA" w:rsidRPr="009521CA">
        <w:t xml:space="preserve"> at 148.</w:t>
      </w:r>
      <w:r w:rsidR="009521CA">
        <w:t xml:space="preserve">  The court concluded that sealing an order that referred to a defendant’s cooperation was the narrowest means of protecting the compelling interest in protecting the defendant. </w:t>
      </w:r>
      <w:r w:rsidR="009521CA" w:rsidRPr="009521CA">
        <w:rPr>
          <w:i/>
          <w:iCs/>
        </w:rPr>
        <w:t>Id.</w:t>
      </w:r>
    </w:p>
    <w:p w14:paraId="721FDB13" w14:textId="1A9BEE0B" w:rsidR="00436EBA" w:rsidRDefault="009521CA" w:rsidP="009521CA">
      <w:pPr>
        <w:ind w:firstLine="720"/>
        <w:rPr>
          <w:bCs/>
          <w:szCs w:val="24"/>
        </w:rPr>
      </w:pPr>
      <w:r>
        <w:rPr>
          <w:bCs/>
          <w:szCs w:val="24"/>
        </w:rPr>
        <w:lastRenderedPageBreak/>
        <w:t xml:space="preserve">3. In cases involving cooperation before Judge </w:t>
      </w:r>
      <w:r w:rsidR="00267047">
        <w:rPr>
          <w:bCs/>
          <w:szCs w:val="24"/>
        </w:rPr>
        <w:t>Dawson</w:t>
      </w:r>
      <w:r>
        <w:rPr>
          <w:bCs/>
          <w:szCs w:val="24"/>
        </w:rPr>
        <w:t>, the following procedures shall be used:</w:t>
      </w:r>
    </w:p>
    <w:p w14:paraId="1FFB8B0F" w14:textId="4470A47D" w:rsidR="009521CA" w:rsidRDefault="009521CA" w:rsidP="009521CA">
      <w:pPr>
        <w:rPr>
          <w:bCs/>
          <w:szCs w:val="24"/>
        </w:rPr>
      </w:pPr>
      <w:r>
        <w:rPr>
          <w:bCs/>
          <w:szCs w:val="24"/>
        </w:rPr>
        <w:tab/>
      </w:r>
      <w:r>
        <w:rPr>
          <w:bCs/>
          <w:szCs w:val="24"/>
        </w:rPr>
        <w:tab/>
        <w:t xml:space="preserve">A. Two documents shall be prepared: a Plea Agreement and an </w:t>
      </w:r>
      <w:r w:rsidRPr="00D76608">
        <w:rPr>
          <w:bCs/>
          <w:szCs w:val="24"/>
        </w:rPr>
        <w:t>In Camera</w:t>
      </w:r>
      <w:r>
        <w:rPr>
          <w:bCs/>
          <w:szCs w:val="24"/>
        </w:rPr>
        <w:t xml:space="preserve"> Addendum</w:t>
      </w:r>
      <w:r w:rsidR="000A746F">
        <w:rPr>
          <w:bCs/>
          <w:szCs w:val="24"/>
        </w:rPr>
        <w:t>.</w:t>
      </w:r>
    </w:p>
    <w:p w14:paraId="2E12F25C" w14:textId="269C4A1B" w:rsidR="009521CA" w:rsidRDefault="009521CA" w:rsidP="009521CA">
      <w:pPr>
        <w:rPr>
          <w:bCs/>
          <w:szCs w:val="24"/>
        </w:rPr>
      </w:pPr>
      <w:r>
        <w:rPr>
          <w:bCs/>
          <w:szCs w:val="24"/>
        </w:rPr>
        <w:tab/>
      </w:r>
      <w:r>
        <w:rPr>
          <w:bCs/>
          <w:szCs w:val="24"/>
        </w:rPr>
        <w:tab/>
      </w:r>
      <w:r>
        <w:rPr>
          <w:bCs/>
          <w:szCs w:val="24"/>
        </w:rPr>
        <w:tab/>
        <w:t xml:space="preserve">i. The Plea Agreement shall not contain cooperation provisions but shall contain the following language in the integration clause: </w:t>
      </w:r>
    </w:p>
    <w:p w14:paraId="57DEE82C" w14:textId="34476C1A" w:rsidR="009521CA" w:rsidRDefault="009521CA" w:rsidP="009521CA">
      <w:pPr>
        <w:pStyle w:val="BlockQuote"/>
      </w:pPr>
      <w:r>
        <w:t xml:space="preserve">The parties hereby agree that this Plea Agreement, </w:t>
      </w:r>
      <w:r w:rsidRPr="00C13812">
        <w:t xml:space="preserve">together with </w:t>
      </w:r>
      <w:r w:rsidR="00482CC1">
        <w:t>any</w:t>
      </w:r>
      <w:r w:rsidR="00FD5F31">
        <w:t xml:space="preserve"> written </w:t>
      </w:r>
      <w:r w:rsidRPr="00C13812">
        <w:t>provisions disclosed during the Rule 11 plea hearing in accordance with Fed. R. Crim. P. 11(c)(2),</w:t>
      </w:r>
      <w:r>
        <w:t xml:space="preserve"> contain the entire agreement of the parties; that this Agreement supersedes all prior promises, representations and statements of the parties; that this Agreement shall not be binding on any party until the Defendant tenders a plea of guilty to the court having jurisdiction in this matter; that this Agreement </w:t>
      </w:r>
      <w:r w:rsidR="008E18C3">
        <w:t xml:space="preserve">may </w:t>
      </w:r>
      <w:r>
        <w:t>be modified only in writing signed by all parties; and that any and all other promises, representations and statements, whether made prior to, contemporaneous with or after this Agreement, are null and void.</w:t>
      </w:r>
    </w:p>
    <w:p w14:paraId="0BC563D2" w14:textId="5BA70206" w:rsidR="00F7671F" w:rsidRDefault="00F7671F" w:rsidP="00F7671F">
      <w:pPr>
        <w:pStyle w:val="BlockQuote"/>
        <w:ind w:left="0"/>
      </w:pPr>
    </w:p>
    <w:p w14:paraId="3B65F522" w14:textId="4B733103" w:rsidR="00F7671F" w:rsidRDefault="00F7671F" w:rsidP="00F7671F">
      <w:r>
        <w:tab/>
      </w:r>
      <w:r>
        <w:tab/>
      </w:r>
      <w:r>
        <w:tab/>
        <w:t xml:space="preserve">ii. The </w:t>
      </w:r>
      <w:r w:rsidRPr="00D76608">
        <w:t>In Camera</w:t>
      </w:r>
      <w:r>
        <w:t xml:space="preserve"> Addendum shall contain all provisions relevant to cooperation</w:t>
      </w:r>
      <w:r w:rsidR="00FD5F31">
        <w:t xml:space="preserve"> and shall, together </w:t>
      </w:r>
      <w:r w:rsidR="006C59F1">
        <w:t>with the Plea Agreement</w:t>
      </w:r>
      <w:r w:rsidR="00FD5F31">
        <w:t>,</w:t>
      </w:r>
      <w:r w:rsidR="006C59F1">
        <w:t xml:space="preserve"> </w:t>
      </w:r>
      <w:r w:rsidR="00FD5F31">
        <w:t>constitute</w:t>
      </w:r>
      <w:r w:rsidR="006C59F1">
        <w:t xml:space="preserve"> the entire agreement of the parties.</w:t>
      </w:r>
    </w:p>
    <w:p w14:paraId="63C5E66A" w14:textId="5C5A2A77" w:rsidR="00F7671F" w:rsidRDefault="00F7671F" w:rsidP="00F7671F">
      <w:r>
        <w:tab/>
      </w:r>
      <w:r>
        <w:tab/>
        <w:t>B. Only the Plea Agreement shall be filed with the court prior to the Rule 11 hearing.  The Government shall notify the court the Rule 11 hearing should be scheduled separately from Pre</w:t>
      </w:r>
      <w:r w:rsidR="00267047">
        <w:t>-</w:t>
      </w:r>
      <w:r>
        <w:t xml:space="preserve">Trial Conferences of other </w:t>
      </w:r>
      <w:r w:rsidR="000A746F">
        <w:t>d</w:t>
      </w:r>
      <w:r>
        <w:t>efendants.</w:t>
      </w:r>
    </w:p>
    <w:p w14:paraId="56332227" w14:textId="5D428C2B" w:rsidR="00F7671F" w:rsidRDefault="00F7671F" w:rsidP="00F7671F">
      <w:r>
        <w:tab/>
      </w:r>
      <w:r>
        <w:tab/>
        <w:t>C. At the Rule 11 hearing, counsel shall request th</w:t>
      </w:r>
      <w:r w:rsidR="00FD5F31">
        <w:t>at</w:t>
      </w:r>
      <w:r>
        <w:t xml:space="preserve"> matters regarding the In Camera Addendum be disclosed </w:t>
      </w:r>
      <w:r w:rsidRPr="00F7671F">
        <w:rPr>
          <w:i/>
          <w:iCs/>
        </w:rPr>
        <w:t>in camera</w:t>
      </w:r>
      <w:r>
        <w:t xml:space="preserve"> and address the good cause basis for doing so.</w:t>
      </w:r>
    </w:p>
    <w:p w14:paraId="0F0AFC83" w14:textId="22AFB528" w:rsidR="00D76608" w:rsidRDefault="00D76608" w:rsidP="00F7671F">
      <w:r>
        <w:tab/>
      </w:r>
      <w:r>
        <w:tab/>
        <w:t>D. If the court finds good cause, the court reporter shall label that portion of the transcript “</w:t>
      </w:r>
      <w:r w:rsidRPr="000A746F">
        <w:rPr>
          <w:i/>
          <w:iCs/>
        </w:rPr>
        <w:t>in camera</w:t>
      </w:r>
      <w:r>
        <w:t>.”</w:t>
      </w:r>
    </w:p>
    <w:p w14:paraId="371C026D" w14:textId="215F57AE" w:rsidR="00D76608" w:rsidRDefault="00D76608" w:rsidP="00F7671F">
      <w:r>
        <w:tab/>
      </w:r>
      <w:r>
        <w:tab/>
        <w:t>E. The In Camera Addendum shall be retained by counsel until sentencing</w:t>
      </w:r>
      <w:r w:rsidR="00FD5F31">
        <w:t>.</w:t>
      </w:r>
    </w:p>
    <w:p w14:paraId="16E6DB08" w14:textId="76F6279A" w:rsidR="00D76608" w:rsidRPr="006D6DD1" w:rsidRDefault="00FD5F31" w:rsidP="00F7671F">
      <w:pPr>
        <w:rPr>
          <w:rFonts w:cs="Calibri"/>
        </w:rPr>
      </w:pPr>
      <w:r>
        <w:tab/>
      </w:r>
      <w:r>
        <w:tab/>
        <w:t>F. No later than two (2) days prior to sentencing, counsel shall disclose to opposing counsel and submit via email</w:t>
      </w:r>
      <w:r w:rsidR="006D6DD1">
        <w:t xml:space="preserve"> to </w:t>
      </w:r>
      <w:r w:rsidR="00267047">
        <w:t>dawson</w:t>
      </w:r>
      <w:r w:rsidR="006D6DD1" w:rsidRPr="006D6DD1">
        <w:t>_ecf@scd.uscourts.gov</w:t>
      </w:r>
      <w:r>
        <w:t xml:space="preserve"> copies of any motions related to the In Camera Addendum as well as any other documents for which </w:t>
      </w:r>
      <w:r w:rsidRPr="00FD5F31">
        <w:rPr>
          <w:i/>
          <w:iCs/>
        </w:rPr>
        <w:t>in camera</w:t>
      </w:r>
      <w:r>
        <w:t xml:space="preserve"> status</w:t>
      </w:r>
      <w:r w:rsidR="006D6DD1">
        <w:t>, in whole or in part,</w:t>
      </w:r>
      <w:r>
        <w:t xml:space="preserve"> is </w:t>
      </w:r>
      <w:r>
        <w:lastRenderedPageBreak/>
        <w:t xml:space="preserve">requested.  This includes </w:t>
      </w:r>
      <w:r w:rsidR="00D76608">
        <w:t>confidential documents such as juvenile court and/or juvenile detention records, medical records, psychiatric or psychological records, family court records, and other documents that may relate to mental health, physical health, or personal safety of individuals.</w:t>
      </w:r>
      <w:r w:rsidR="00D76608">
        <w:rPr>
          <w:rStyle w:val="FootnoteReference"/>
        </w:rPr>
        <w:footnoteReference w:id="3"/>
      </w:r>
    </w:p>
    <w:p w14:paraId="65345B23" w14:textId="4CD8ED6D" w:rsidR="00FD5F31" w:rsidRDefault="00D76608" w:rsidP="00F7671F">
      <w:r>
        <w:tab/>
      </w:r>
      <w:r>
        <w:tab/>
        <w:t xml:space="preserve">G. </w:t>
      </w:r>
      <w:r w:rsidR="00FD5F31">
        <w:t xml:space="preserve">At sentencing, the In Camera Addendum, together with related motions and other documents for which good cause for </w:t>
      </w:r>
      <w:r w:rsidR="00FD5F31" w:rsidRPr="00050548">
        <w:rPr>
          <w:i/>
          <w:iCs/>
        </w:rPr>
        <w:t>in camera</w:t>
      </w:r>
      <w:r w:rsidR="00FD5F31">
        <w:t xml:space="preserve"> treatment is found by the court, shall be received</w:t>
      </w:r>
      <w:r w:rsidR="00050548">
        <w:t xml:space="preserve"> by the Clerk and filed under seal</w:t>
      </w:r>
      <w:r w:rsidR="00FD5F31">
        <w:t>.</w:t>
      </w:r>
    </w:p>
    <w:p w14:paraId="24F1787E" w14:textId="1314548B" w:rsidR="00D76608" w:rsidRDefault="00FD5F31" w:rsidP="00B72A3F">
      <w:pPr>
        <w:ind w:firstLine="1440"/>
      </w:pPr>
      <w:r>
        <w:t xml:space="preserve">H. </w:t>
      </w:r>
      <w:r w:rsidR="00D76608">
        <w:t xml:space="preserve">No </w:t>
      </w:r>
      <w:r w:rsidR="00D76608" w:rsidRPr="00D76608">
        <w:rPr>
          <w:i/>
          <w:iCs/>
        </w:rPr>
        <w:t>in camera</w:t>
      </w:r>
      <w:r w:rsidR="00D76608">
        <w:t xml:space="preserve"> sealed documents shall be disclosed to any person without an order </w:t>
      </w:r>
      <w:r w:rsidR="00AA2717">
        <w:t>of</w:t>
      </w:r>
      <w:r w:rsidR="00B72A3F">
        <w:t xml:space="preserve"> </w:t>
      </w:r>
      <w:r w:rsidR="00D76608">
        <w:t xml:space="preserve">the court finding there is no longer good cause for sealed </w:t>
      </w:r>
      <w:r w:rsidR="00D76608" w:rsidRPr="00D76608">
        <w:rPr>
          <w:i/>
          <w:iCs/>
        </w:rPr>
        <w:t>in camera</w:t>
      </w:r>
      <w:r w:rsidR="00D76608">
        <w:t xml:space="preserve"> treatment.</w:t>
      </w:r>
    </w:p>
    <w:p w14:paraId="40B57B54" w14:textId="2503C3A1" w:rsidR="00A17ABF" w:rsidRDefault="00A17ABF" w:rsidP="00A17ABF">
      <w:pPr>
        <w:ind w:firstLine="1440"/>
      </w:pPr>
      <w:r>
        <w:t xml:space="preserve">I. Notwithstanding the restriction in paragraph H above, the United States Attorney </w:t>
      </w:r>
      <w:r w:rsidRPr="00A17ABF">
        <w:t>need</w:t>
      </w:r>
      <w:r>
        <w:t xml:space="preserve"> </w:t>
      </w:r>
      <w:r w:rsidRPr="00A17ABF">
        <w:t xml:space="preserve">not seek further leave of the court to disclose </w:t>
      </w:r>
      <w:r w:rsidRPr="0000327D">
        <w:rPr>
          <w:i/>
          <w:iCs/>
        </w:rPr>
        <w:t>in camera</w:t>
      </w:r>
      <w:r w:rsidRPr="00A17ABF">
        <w:t xml:space="preserve"> documents to the defense where necessary to comply with discovery obligations.  Such disclosures </w:t>
      </w:r>
      <w:r>
        <w:t>shall</w:t>
      </w:r>
      <w:r w:rsidRPr="00A17ABF">
        <w:t xml:space="preserve"> be made subject to the terms of the Standing Order Governing Discovery entered in all criminal cases and any other discovery order entered in a case.</w:t>
      </w:r>
    </w:p>
    <w:p w14:paraId="387BF683" w14:textId="77777777" w:rsidR="00755A59" w:rsidRDefault="00AA2717" w:rsidP="00755A59">
      <w:pPr>
        <w:rPr>
          <w:b/>
          <w:bCs/>
        </w:rPr>
      </w:pPr>
      <w:r>
        <w:tab/>
      </w:r>
      <w:r w:rsidRPr="00AA2717">
        <w:rPr>
          <w:b/>
          <w:bCs/>
        </w:rPr>
        <w:t>IT IS SO ORDERED.</w:t>
      </w:r>
    </w:p>
    <w:p w14:paraId="4720A5FA" w14:textId="1F109953" w:rsidR="00416332" w:rsidRPr="00AA2717" w:rsidRDefault="00755A59" w:rsidP="00755A59">
      <w:pPr>
        <w:rPr>
          <w:b/>
          <w:bCs/>
        </w:rPr>
      </w:pPr>
      <w:r>
        <w:rPr>
          <w:b/>
          <w:bCs/>
        </w:rPr>
        <w:t xml:space="preserve">                                                                                  </w:t>
      </w:r>
      <w:r>
        <w:rPr>
          <w:b/>
          <w:bCs/>
          <w:noProof/>
        </w:rPr>
        <w:drawing>
          <wp:inline distT="0" distB="0" distL="0" distR="0" wp14:anchorId="3034B7AC" wp14:editId="052FB0D2">
            <wp:extent cx="2157153" cy="7938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57153" cy="793865"/>
                    </a:xfrm>
                    <a:prstGeom prst="rect">
                      <a:avLst/>
                    </a:prstGeom>
                  </pic:spPr>
                </pic:pic>
              </a:graphicData>
            </a:graphic>
          </wp:inline>
        </w:drawing>
      </w:r>
    </w:p>
    <w:sectPr w:rsidR="00416332" w:rsidRPr="00AA2717" w:rsidSect="005C0549">
      <w:headerReference w:type="default" r:id="rId9"/>
      <w:footerReference w:type="default" r:id="rId10"/>
      <w:headerReference w:type="first" r:id="rId11"/>
      <w:footerReference w:type="first" r:id="rId12"/>
      <w:pgSz w:w="12240" w:h="15840" w:code="1"/>
      <w:pgMar w:top="642" w:right="1152" w:bottom="1152" w:left="1296" w:header="288" w:footer="720" w:gutter="0"/>
      <w:pgBorders>
        <w:left w:val="double" w:sz="4" w:space="8" w:color="auto"/>
        <w:right w:val="single" w:sz="4" w:space="8"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82E0" w14:textId="77777777" w:rsidR="00295514" w:rsidRDefault="00295514" w:rsidP="00931D7B">
      <w:r>
        <w:separator/>
      </w:r>
    </w:p>
  </w:endnote>
  <w:endnote w:type="continuationSeparator" w:id="0">
    <w:p w14:paraId="38D0E9F3" w14:textId="77777777" w:rsidR="00295514" w:rsidRDefault="00295514" w:rsidP="009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96156"/>
      <w:docPartObj>
        <w:docPartGallery w:val="Page Numbers (Bottom of Page)"/>
        <w:docPartUnique/>
      </w:docPartObj>
    </w:sdtPr>
    <w:sdtEndPr>
      <w:rPr>
        <w:noProof/>
      </w:rPr>
    </w:sdtEndPr>
    <w:sdtContent>
      <w:p w14:paraId="7882F371" w14:textId="77777777" w:rsidR="00FC329C" w:rsidRDefault="00FC329C">
        <w:pPr>
          <w:pStyle w:val="Footer"/>
          <w:jc w:val="center"/>
        </w:pPr>
        <w:r>
          <w:fldChar w:fldCharType="begin"/>
        </w:r>
        <w:r>
          <w:instrText xml:space="preserve"> PAGE   \* MERGEFORMAT </w:instrText>
        </w:r>
        <w:r>
          <w:fldChar w:fldCharType="separate"/>
        </w:r>
        <w:r w:rsidR="001B1ECB">
          <w:rPr>
            <w:noProof/>
          </w:rPr>
          <w:t>12</w:t>
        </w:r>
        <w:r>
          <w:rPr>
            <w:noProof/>
          </w:rPr>
          <w:fldChar w:fldCharType="end"/>
        </w:r>
      </w:p>
    </w:sdtContent>
  </w:sdt>
  <w:p w14:paraId="52C22EAF" w14:textId="77777777" w:rsidR="00AA07DC" w:rsidRDefault="00AA07DC" w:rsidP="00931D7B">
    <w:pPr>
      <w:pStyle w:val="Footer"/>
    </w:pPr>
  </w:p>
  <w:p w14:paraId="7E85DA7E" w14:textId="77777777" w:rsidR="00A32D07" w:rsidRDefault="00A32D07"/>
  <w:p w14:paraId="701C1BB1" w14:textId="77777777" w:rsidR="00BE2F39" w:rsidRDefault="00BE2F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395024"/>
      <w:docPartObj>
        <w:docPartGallery w:val="Page Numbers (Bottom of Page)"/>
        <w:docPartUnique/>
      </w:docPartObj>
    </w:sdtPr>
    <w:sdtEndPr>
      <w:rPr>
        <w:noProof/>
      </w:rPr>
    </w:sdtEndPr>
    <w:sdtContent>
      <w:p w14:paraId="4E32D80A" w14:textId="2634348C" w:rsidR="002A1B5B" w:rsidRDefault="002A1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6E805" w14:textId="77777777" w:rsidR="00CD66A5" w:rsidRDefault="00CD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B305" w14:textId="77777777" w:rsidR="00295514" w:rsidRDefault="00295514" w:rsidP="00931D7B">
      <w:r>
        <w:separator/>
      </w:r>
    </w:p>
  </w:footnote>
  <w:footnote w:type="continuationSeparator" w:id="0">
    <w:p w14:paraId="2C982A07" w14:textId="77777777" w:rsidR="00295514" w:rsidRDefault="00295514" w:rsidP="00931D7B">
      <w:r>
        <w:continuationSeparator/>
      </w:r>
    </w:p>
  </w:footnote>
  <w:footnote w:type="continuationNotice" w:id="1">
    <w:p w14:paraId="2FA1AAF5" w14:textId="77777777" w:rsidR="00295514" w:rsidRDefault="00295514">
      <w:pPr>
        <w:spacing w:line="240" w:lineRule="auto"/>
      </w:pPr>
      <w:r>
        <w:t xml:space="preserve">Footnote Continued . . . </w:t>
      </w:r>
    </w:p>
  </w:footnote>
  <w:footnote w:id="2">
    <w:p w14:paraId="6D726051" w14:textId="77777777" w:rsidR="00D76608" w:rsidRDefault="00D76608">
      <w:pPr>
        <w:pStyle w:val="FootnoteText"/>
      </w:pPr>
      <w:r>
        <w:rPr>
          <w:rStyle w:val="FootnoteReference"/>
        </w:rPr>
        <w:footnoteRef/>
      </w:r>
      <w:r>
        <w:t xml:space="preserve"> Rule 11(c)(2) was added in 1975.  Advisory Committee Notes indicate the </w:t>
      </w:r>
    </w:p>
    <w:p w14:paraId="4A831BAD" w14:textId="176DE18B" w:rsidR="00D76608" w:rsidRDefault="00D76608" w:rsidP="00D76608">
      <w:pPr>
        <w:pStyle w:val="BlockQuote"/>
      </w:pPr>
      <w:r w:rsidRPr="008452CA">
        <w:rPr>
          <w:rStyle w:val="BlockQuoteChar"/>
        </w:rPr>
        <w:t>Committee added language in subdivisions (e)(2) [now (c)(2)] and (e)(4) to permit a plea agreement to be disclosed to the court, or rejected by it, in camera. The language does not address itself to whether the showing of good cause may be made in open court or in camera. That issue is left for the courts to resolve on a case-by-case basis. These changes in subdivisions (e)(2) [now (c)(2)] and (e)(4) will permit a fair trial when there is substantial media interest in a case and the court is rejecting a plea agreement.</w:t>
      </w:r>
    </w:p>
  </w:footnote>
  <w:footnote w:id="3">
    <w:p w14:paraId="37118ACB" w14:textId="17977E2A" w:rsidR="00D76608" w:rsidRDefault="00D76608">
      <w:pPr>
        <w:pStyle w:val="FootnoteText"/>
      </w:pPr>
      <w:r>
        <w:rPr>
          <w:rStyle w:val="FootnoteReference"/>
        </w:rPr>
        <w:footnoteRef/>
      </w:r>
      <w:r>
        <w:t xml:space="preserve"> The Fourth Circuit has recognized that “an interest in protecting the physical and psychological well-being of individuals related to litigation . . . may justify restricting access” to such documents. </w:t>
      </w:r>
      <w:r w:rsidRPr="00D76608">
        <w:rPr>
          <w:i/>
          <w:iCs/>
        </w:rPr>
        <w:t>United States v. Harris</w:t>
      </w:r>
      <w:r>
        <w:t>, 890 F.3d 480 (4th Cir.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C0D0" w14:textId="2444FE76" w:rsidR="005C0549" w:rsidRPr="005C0549" w:rsidRDefault="005C0549" w:rsidP="005C0549">
    <w:pPr>
      <w:pStyle w:val="Header"/>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7415" w14:textId="617E7F0D" w:rsidR="00AA2717" w:rsidRPr="00AA2717" w:rsidRDefault="00AA2717" w:rsidP="00AA2717">
    <w:pPr>
      <w:pStyle w:val="Header"/>
      <w:jc w:val="center"/>
      <w:rPr>
        <w:sz w:val="52"/>
        <w:szCs w:val="52"/>
      </w:rPr>
    </w:pPr>
    <w:r w:rsidRPr="00AA2717">
      <w:rPr>
        <w:sz w:val="52"/>
        <w:szCs w:val="52"/>
      </w:rPr>
      <w:t>DRAFT</w:t>
    </w:r>
  </w:p>
  <w:p w14:paraId="4F8C41BB" w14:textId="77777777" w:rsidR="00AA2717" w:rsidRDefault="00A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DC"/>
    <w:multiLevelType w:val="hybridMultilevel"/>
    <w:tmpl w:val="E7181E8E"/>
    <w:lvl w:ilvl="0" w:tplc="C94E2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81D3D"/>
    <w:multiLevelType w:val="hybridMultilevel"/>
    <w:tmpl w:val="E1340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DD7218"/>
    <w:multiLevelType w:val="hybridMultilevel"/>
    <w:tmpl w:val="47784180"/>
    <w:lvl w:ilvl="0" w:tplc="E270A818">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EB1C7B"/>
    <w:multiLevelType w:val="hybridMultilevel"/>
    <w:tmpl w:val="C0A6187C"/>
    <w:lvl w:ilvl="0" w:tplc="93720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5024427">
    <w:abstractNumId w:val="0"/>
  </w:num>
  <w:num w:numId="2" w16cid:durableId="310208282">
    <w:abstractNumId w:val="3"/>
  </w:num>
  <w:num w:numId="3" w16cid:durableId="1786192979">
    <w:abstractNumId w:val="1"/>
  </w:num>
  <w:num w:numId="4" w16cid:durableId="37527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14"/>
    <w:rsid w:val="0000327D"/>
    <w:rsid w:val="00031AC9"/>
    <w:rsid w:val="000336B3"/>
    <w:rsid w:val="000433A2"/>
    <w:rsid w:val="00043E59"/>
    <w:rsid w:val="00045465"/>
    <w:rsid w:val="000456A6"/>
    <w:rsid w:val="0004573E"/>
    <w:rsid w:val="00050548"/>
    <w:rsid w:val="00050C7F"/>
    <w:rsid w:val="00054454"/>
    <w:rsid w:val="00056352"/>
    <w:rsid w:val="0005733E"/>
    <w:rsid w:val="00066C4C"/>
    <w:rsid w:val="00074287"/>
    <w:rsid w:val="00085CE0"/>
    <w:rsid w:val="0009479B"/>
    <w:rsid w:val="000A604E"/>
    <w:rsid w:val="000A746F"/>
    <w:rsid w:val="000B29DE"/>
    <w:rsid w:val="000B364C"/>
    <w:rsid w:val="000B5A45"/>
    <w:rsid w:val="000C47B5"/>
    <w:rsid w:val="000D0067"/>
    <w:rsid w:val="000D603C"/>
    <w:rsid w:val="000D7A5E"/>
    <w:rsid w:val="000D7F05"/>
    <w:rsid w:val="000E24CC"/>
    <w:rsid w:val="000E2B27"/>
    <w:rsid w:val="000F06F0"/>
    <w:rsid w:val="000F1857"/>
    <w:rsid w:val="000F29AE"/>
    <w:rsid w:val="001005FE"/>
    <w:rsid w:val="001030B2"/>
    <w:rsid w:val="00114CE2"/>
    <w:rsid w:val="001158DB"/>
    <w:rsid w:val="001224EF"/>
    <w:rsid w:val="00143223"/>
    <w:rsid w:val="001528C1"/>
    <w:rsid w:val="00153F02"/>
    <w:rsid w:val="001560D3"/>
    <w:rsid w:val="001577FC"/>
    <w:rsid w:val="0016167B"/>
    <w:rsid w:val="00162DEB"/>
    <w:rsid w:val="00163FBA"/>
    <w:rsid w:val="00164B1F"/>
    <w:rsid w:val="00171C63"/>
    <w:rsid w:val="00187CA3"/>
    <w:rsid w:val="00192A98"/>
    <w:rsid w:val="001976EA"/>
    <w:rsid w:val="001A1233"/>
    <w:rsid w:val="001A3BF7"/>
    <w:rsid w:val="001B1ECB"/>
    <w:rsid w:val="001D4EF6"/>
    <w:rsid w:val="001D5047"/>
    <w:rsid w:val="001D51DE"/>
    <w:rsid w:val="001F371E"/>
    <w:rsid w:val="001F7163"/>
    <w:rsid w:val="00203340"/>
    <w:rsid w:val="002046D8"/>
    <w:rsid w:val="002116BE"/>
    <w:rsid w:val="00224775"/>
    <w:rsid w:val="002303F5"/>
    <w:rsid w:val="00237427"/>
    <w:rsid w:val="0024377A"/>
    <w:rsid w:val="00245B8B"/>
    <w:rsid w:val="00246BDF"/>
    <w:rsid w:val="00251875"/>
    <w:rsid w:val="00265304"/>
    <w:rsid w:val="00266C38"/>
    <w:rsid w:val="00267047"/>
    <w:rsid w:val="00271CF9"/>
    <w:rsid w:val="00273B8A"/>
    <w:rsid w:val="00276FAF"/>
    <w:rsid w:val="002770CB"/>
    <w:rsid w:val="00277CA0"/>
    <w:rsid w:val="00290128"/>
    <w:rsid w:val="0029030C"/>
    <w:rsid w:val="002915DD"/>
    <w:rsid w:val="00291CDE"/>
    <w:rsid w:val="00295514"/>
    <w:rsid w:val="002A1B5B"/>
    <w:rsid w:val="002A3F9C"/>
    <w:rsid w:val="002A424A"/>
    <w:rsid w:val="002A42C7"/>
    <w:rsid w:val="002A5686"/>
    <w:rsid w:val="002B239B"/>
    <w:rsid w:val="002C1A79"/>
    <w:rsid w:val="002C2911"/>
    <w:rsid w:val="002C361C"/>
    <w:rsid w:val="002D5B7C"/>
    <w:rsid w:val="002D6581"/>
    <w:rsid w:val="002E0C2E"/>
    <w:rsid w:val="002E5762"/>
    <w:rsid w:val="002E7018"/>
    <w:rsid w:val="002F31CE"/>
    <w:rsid w:val="002F579A"/>
    <w:rsid w:val="00302377"/>
    <w:rsid w:val="0031522D"/>
    <w:rsid w:val="003257E0"/>
    <w:rsid w:val="00330F59"/>
    <w:rsid w:val="003314CB"/>
    <w:rsid w:val="00331FD3"/>
    <w:rsid w:val="00333D94"/>
    <w:rsid w:val="00347E3E"/>
    <w:rsid w:val="00351014"/>
    <w:rsid w:val="00354706"/>
    <w:rsid w:val="0035487F"/>
    <w:rsid w:val="00363BBF"/>
    <w:rsid w:val="003677EF"/>
    <w:rsid w:val="00372992"/>
    <w:rsid w:val="00374F8F"/>
    <w:rsid w:val="003806D3"/>
    <w:rsid w:val="003839F3"/>
    <w:rsid w:val="0039221F"/>
    <w:rsid w:val="00393346"/>
    <w:rsid w:val="003A2C93"/>
    <w:rsid w:val="003A58D7"/>
    <w:rsid w:val="003D0C17"/>
    <w:rsid w:val="003F197E"/>
    <w:rsid w:val="003F21D4"/>
    <w:rsid w:val="003F7775"/>
    <w:rsid w:val="0041399A"/>
    <w:rsid w:val="00413B8B"/>
    <w:rsid w:val="004147C9"/>
    <w:rsid w:val="00416332"/>
    <w:rsid w:val="00417265"/>
    <w:rsid w:val="00423757"/>
    <w:rsid w:val="00433E5F"/>
    <w:rsid w:val="00435AB4"/>
    <w:rsid w:val="00436EBA"/>
    <w:rsid w:val="0044036E"/>
    <w:rsid w:val="004568EF"/>
    <w:rsid w:val="004602E7"/>
    <w:rsid w:val="0047197E"/>
    <w:rsid w:val="00475BAB"/>
    <w:rsid w:val="00482CC1"/>
    <w:rsid w:val="00496D8F"/>
    <w:rsid w:val="004A220F"/>
    <w:rsid w:val="004A787D"/>
    <w:rsid w:val="004B032E"/>
    <w:rsid w:val="004B4B6F"/>
    <w:rsid w:val="004B55F9"/>
    <w:rsid w:val="004C27ED"/>
    <w:rsid w:val="004C5C21"/>
    <w:rsid w:val="004C7238"/>
    <w:rsid w:val="004E252B"/>
    <w:rsid w:val="004E5642"/>
    <w:rsid w:val="004E5BD6"/>
    <w:rsid w:val="004E5E04"/>
    <w:rsid w:val="004F01B9"/>
    <w:rsid w:val="004F3FB8"/>
    <w:rsid w:val="004F46E7"/>
    <w:rsid w:val="004F6485"/>
    <w:rsid w:val="00501615"/>
    <w:rsid w:val="005078FC"/>
    <w:rsid w:val="00511B4E"/>
    <w:rsid w:val="00513F1E"/>
    <w:rsid w:val="00522D33"/>
    <w:rsid w:val="00537308"/>
    <w:rsid w:val="005442DA"/>
    <w:rsid w:val="00545DC1"/>
    <w:rsid w:val="005530DD"/>
    <w:rsid w:val="00554843"/>
    <w:rsid w:val="00554ED1"/>
    <w:rsid w:val="00562F5B"/>
    <w:rsid w:val="00564757"/>
    <w:rsid w:val="005664E4"/>
    <w:rsid w:val="00566A62"/>
    <w:rsid w:val="00571411"/>
    <w:rsid w:val="005835E0"/>
    <w:rsid w:val="005A0568"/>
    <w:rsid w:val="005A1E0E"/>
    <w:rsid w:val="005A5450"/>
    <w:rsid w:val="005B047B"/>
    <w:rsid w:val="005B2C32"/>
    <w:rsid w:val="005B2CD2"/>
    <w:rsid w:val="005B38ED"/>
    <w:rsid w:val="005B5AE6"/>
    <w:rsid w:val="005C0549"/>
    <w:rsid w:val="005D561C"/>
    <w:rsid w:val="005F4E46"/>
    <w:rsid w:val="005F7F5E"/>
    <w:rsid w:val="00600E1B"/>
    <w:rsid w:val="0060181C"/>
    <w:rsid w:val="00610A8B"/>
    <w:rsid w:val="006170A7"/>
    <w:rsid w:val="0061745E"/>
    <w:rsid w:val="00622BB9"/>
    <w:rsid w:val="00625F84"/>
    <w:rsid w:val="00626A74"/>
    <w:rsid w:val="0063290C"/>
    <w:rsid w:val="006350A7"/>
    <w:rsid w:val="00640A42"/>
    <w:rsid w:val="00655979"/>
    <w:rsid w:val="0065787E"/>
    <w:rsid w:val="00657AFD"/>
    <w:rsid w:val="00657EBD"/>
    <w:rsid w:val="00664FC7"/>
    <w:rsid w:val="00666D2B"/>
    <w:rsid w:val="00670545"/>
    <w:rsid w:val="00674377"/>
    <w:rsid w:val="006773BA"/>
    <w:rsid w:val="00680718"/>
    <w:rsid w:val="0068164E"/>
    <w:rsid w:val="006941A2"/>
    <w:rsid w:val="006A115F"/>
    <w:rsid w:val="006A28B9"/>
    <w:rsid w:val="006A72EA"/>
    <w:rsid w:val="006B0B9F"/>
    <w:rsid w:val="006B2A80"/>
    <w:rsid w:val="006B681B"/>
    <w:rsid w:val="006C2DE2"/>
    <w:rsid w:val="006C59F1"/>
    <w:rsid w:val="006C7B0F"/>
    <w:rsid w:val="006D4A35"/>
    <w:rsid w:val="006D5231"/>
    <w:rsid w:val="006D5440"/>
    <w:rsid w:val="006D68CD"/>
    <w:rsid w:val="006D6DD1"/>
    <w:rsid w:val="006D769B"/>
    <w:rsid w:val="00702324"/>
    <w:rsid w:val="00703866"/>
    <w:rsid w:val="007039E2"/>
    <w:rsid w:val="00703ECD"/>
    <w:rsid w:val="00711150"/>
    <w:rsid w:val="00711F24"/>
    <w:rsid w:val="00713A95"/>
    <w:rsid w:val="007263F4"/>
    <w:rsid w:val="00741F5F"/>
    <w:rsid w:val="00745201"/>
    <w:rsid w:val="00755A59"/>
    <w:rsid w:val="00755D20"/>
    <w:rsid w:val="00767AF3"/>
    <w:rsid w:val="007714B2"/>
    <w:rsid w:val="00776A4C"/>
    <w:rsid w:val="007814CD"/>
    <w:rsid w:val="0078330B"/>
    <w:rsid w:val="00791CC9"/>
    <w:rsid w:val="007A13BF"/>
    <w:rsid w:val="007A3424"/>
    <w:rsid w:val="007A368F"/>
    <w:rsid w:val="007A506A"/>
    <w:rsid w:val="007A6955"/>
    <w:rsid w:val="007C1065"/>
    <w:rsid w:val="007C2686"/>
    <w:rsid w:val="007D4A41"/>
    <w:rsid w:val="007D542E"/>
    <w:rsid w:val="007F082E"/>
    <w:rsid w:val="007F0AD0"/>
    <w:rsid w:val="007F374F"/>
    <w:rsid w:val="007F72A9"/>
    <w:rsid w:val="008015DA"/>
    <w:rsid w:val="00803452"/>
    <w:rsid w:val="00817CD8"/>
    <w:rsid w:val="008240C1"/>
    <w:rsid w:val="00825412"/>
    <w:rsid w:val="008267DB"/>
    <w:rsid w:val="00830602"/>
    <w:rsid w:val="008319A5"/>
    <w:rsid w:val="0083654C"/>
    <w:rsid w:val="008373C2"/>
    <w:rsid w:val="00840F9B"/>
    <w:rsid w:val="00843611"/>
    <w:rsid w:val="00844D14"/>
    <w:rsid w:val="008452CA"/>
    <w:rsid w:val="00850059"/>
    <w:rsid w:val="00855624"/>
    <w:rsid w:val="00857322"/>
    <w:rsid w:val="008642F6"/>
    <w:rsid w:val="00874B3F"/>
    <w:rsid w:val="00884977"/>
    <w:rsid w:val="00884B74"/>
    <w:rsid w:val="00885B46"/>
    <w:rsid w:val="0088641A"/>
    <w:rsid w:val="00895C9A"/>
    <w:rsid w:val="008A0CFF"/>
    <w:rsid w:val="008D3C6E"/>
    <w:rsid w:val="008E18C3"/>
    <w:rsid w:val="008E19D7"/>
    <w:rsid w:val="008E19EE"/>
    <w:rsid w:val="008E1DBC"/>
    <w:rsid w:val="008E4BF6"/>
    <w:rsid w:val="008E6E56"/>
    <w:rsid w:val="008F749B"/>
    <w:rsid w:val="00900AC9"/>
    <w:rsid w:val="00905AF3"/>
    <w:rsid w:val="0090778B"/>
    <w:rsid w:val="009110EB"/>
    <w:rsid w:val="00911525"/>
    <w:rsid w:val="00920999"/>
    <w:rsid w:val="00925E4B"/>
    <w:rsid w:val="00931D7B"/>
    <w:rsid w:val="00932850"/>
    <w:rsid w:val="009331AB"/>
    <w:rsid w:val="00937FD4"/>
    <w:rsid w:val="009407A1"/>
    <w:rsid w:val="009445CA"/>
    <w:rsid w:val="00945EED"/>
    <w:rsid w:val="00951A93"/>
    <w:rsid w:val="009521CA"/>
    <w:rsid w:val="009553BA"/>
    <w:rsid w:val="00955C6B"/>
    <w:rsid w:val="009600F7"/>
    <w:rsid w:val="00961901"/>
    <w:rsid w:val="0098064E"/>
    <w:rsid w:val="00980933"/>
    <w:rsid w:val="00981296"/>
    <w:rsid w:val="00984FD5"/>
    <w:rsid w:val="009918E1"/>
    <w:rsid w:val="009A0C32"/>
    <w:rsid w:val="009A6890"/>
    <w:rsid w:val="009B2387"/>
    <w:rsid w:val="009C124F"/>
    <w:rsid w:val="009C164A"/>
    <w:rsid w:val="009C4631"/>
    <w:rsid w:val="009E4824"/>
    <w:rsid w:val="009F4B66"/>
    <w:rsid w:val="009F61BC"/>
    <w:rsid w:val="009F7BD7"/>
    <w:rsid w:val="00A03A27"/>
    <w:rsid w:val="00A04141"/>
    <w:rsid w:val="00A1052C"/>
    <w:rsid w:val="00A13151"/>
    <w:rsid w:val="00A17ABF"/>
    <w:rsid w:val="00A32D07"/>
    <w:rsid w:val="00A3405D"/>
    <w:rsid w:val="00A50682"/>
    <w:rsid w:val="00A542A7"/>
    <w:rsid w:val="00A555A9"/>
    <w:rsid w:val="00A6191F"/>
    <w:rsid w:val="00A640C8"/>
    <w:rsid w:val="00A66972"/>
    <w:rsid w:val="00A753A4"/>
    <w:rsid w:val="00A75EFD"/>
    <w:rsid w:val="00A765A4"/>
    <w:rsid w:val="00A83887"/>
    <w:rsid w:val="00A83E12"/>
    <w:rsid w:val="00A85CD9"/>
    <w:rsid w:val="00A95C71"/>
    <w:rsid w:val="00AA0110"/>
    <w:rsid w:val="00AA07DC"/>
    <w:rsid w:val="00AA0E1C"/>
    <w:rsid w:val="00AA2717"/>
    <w:rsid w:val="00AB04D3"/>
    <w:rsid w:val="00AB66C8"/>
    <w:rsid w:val="00AC0B89"/>
    <w:rsid w:val="00AC624F"/>
    <w:rsid w:val="00AD4071"/>
    <w:rsid w:val="00AD4758"/>
    <w:rsid w:val="00AD5420"/>
    <w:rsid w:val="00AD5F82"/>
    <w:rsid w:val="00AF1602"/>
    <w:rsid w:val="00AF3603"/>
    <w:rsid w:val="00B04FC8"/>
    <w:rsid w:val="00B05671"/>
    <w:rsid w:val="00B059D4"/>
    <w:rsid w:val="00B0705F"/>
    <w:rsid w:val="00B1441B"/>
    <w:rsid w:val="00B208C3"/>
    <w:rsid w:val="00B24D4F"/>
    <w:rsid w:val="00B329E6"/>
    <w:rsid w:val="00B32EEF"/>
    <w:rsid w:val="00B4226F"/>
    <w:rsid w:val="00B533AB"/>
    <w:rsid w:val="00B56800"/>
    <w:rsid w:val="00B56BB9"/>
    <w:rsid w:val="00B64A46"/>
    <w:rsid w:val="00B72A3F"/>
    <w:rsid w:val="00B81014"/>
    <w:rsid w:val="00B9101F"/>
    <w:rsid w:val="00B915BE"/>
    <w:rsid w:val="00B92743"/>
    <w:rsid w:val="00B93BD4"/>
    <w:rsid w:val="00B94D92"/>
    <w:rsid w:val="00B9736B"/>
    <w:rsid w:val="00BA5328"/>
    <w:rsid w:val="00BB3A34"/>
    <w:rsid w:val="00BB3C34"/>
    <w:rsid w:val="00BC0AD3"/>
    <w:rsid w:val="00BC6C81"/>
    <w:rsid w:val="00BD5935"/>
    <w:rsid w:val="00BE0626"/>
    <w:rsid w:val="00BE0DCB"/>
    <w:rsid w:val="00BE2F39"/>
    <w:rsid w:val="00BE3547"/>
    <w:rsid w:val="00BE37B1"/>
    <w:rsid w:val="00BE46FD"/>
    <w:rsid w:val="00BE54BC"/>
    <w:rsid w:val="00C05821"/>
    <w:rsid w:val="00C0686F"/>
    <w:rsid w:val="00C13812"/>
    <w:rsid w:val="00C27297"/>
    <w:rsid w:val="00C3031E"/>
    <w:rsid w:val="00C31F1F"/>
    <w:rsid w:val="00C375D4"/>
    <w:rsid w:val="00C50D05"/>
    <w:rsid w:val="00C51D32"/>
    <w:rsid w:val="00C637F9"/>
    <w:rsid w:val="00C64A81"/>
    <w:rsid w:val="00C65D2F"/>
    <w:rsid w:val="00C7575B"/>
    <w:rsid w:val="00C7742A"/>
    <w:rsid w:val="00C846BD"/>
    <w:rsid w:val="00C85AA7"/>
    <w:rsid w:val="00C87A89"/>
    <w:rsid w:val="00C92623"/>
    <w:rsid w:val="00C9366D"/>
    <w:rsid w:val="00CA5CC7"/>
    <w:rsid w:val="00CA643A"/>
    <w:rsid w:val="00CA7D48"/>
    <w:rsid w:val="00CB49A9"/>
    <w:rsid w:val="00CB4E3B"/>
    <w:rsid w:val="00CB55F3"/>
    <w:rsid w:val="00CC23A5"/>
    <w:rsid w:val="00CD593A"/>
    <w:rsid w:val="00CD66A5"/>
    <w:rsid w:val="00CD75AA"/>
    <w:rsid w:val="00CE0AF6"/>
    <w:rsid w:val="00CE4D86"/>
    <w:rsid w:val="00CE5292"/>
    <w:rsid w:val="00CF0BA3"/>
    <w:rsid w:val="00CF38C1"/>
    <w:rsid w:val="00CF7619"/>
    <w:rsid w:val="00D01499"/>
    <w:rsid w:val="00D05C5F"/>
    <w:rsid w:val="00D17123"/>
    <w:rsid w:val="00D244E6"/>
    <w:rsid w:val="00D4104B"/>
    <w:rsid w:val="00D417BF"/>
    <w:rsid w:val="00D463D9"/>
    <w:rsid w:val="00D6039B"/>
    <w:rsid w:val="00D701AF"/>
    <w:rsid w:val="00D71C3B"/>
    <w:rsid w:val="00D71DC2"/>
    <w:rsid w:val="00D739B6"/>
    <w:rsid w:val="00D76608"/>
    <w:rsid w:val="00D80808"/>
    <w:rsid w:val="00D90FBE"/>
    <w:rsid w:val="00DA4EF3"/>
    <w:rsid w:val="00DA6250"/>
    <w:rsid w:val="00DB3A11"/>
    <w:rsid w:val="00DB7D6E"/>
    <w:rsid w:val="00DC448C"/>
    <w:rsid w:val="00DC5280"/>
    <w:rsid w:val="00DC5FE0"/>
    <w:rsid w:val="00DC6D2D"/>
    <w:rsid w:val="00DD0C9A"/>
    <w:rsid w:val="00DD4623"/>
    <w:rsid w:val="00DE4E89"/>
    <w:rsid w:val="00DF08A9"/>
    <w:rsid w:val="00DF60F4"/>
    <w:rsid w:val="00E17574"/>
    <w:rsid w:val="00E367A1"/>
    <w:rsid w:val="00E43D84"/>
    <w:rsid w:val="00E45025"/>
    <w:rsid w:val="00E52558"/>
    <w:rsid w:val="00E52AB8"/>
    <w:rsid w:val="00E55605"/>
    <w:rsid w:val="00E62A5B"/>
    <w:rsid w:val="00E63744"/>
    <w:rsid w:val="00E64460"/>
    <w:rsid w:val="00E66D4E"/>
    <w:rsid w:val="00E70132"/>
    <w:rsid w:val="00E719F1"/>
    <w:rsid w:val="00E83486"/>
    <w:rsid w:val="00E8389B"/>
    <w:rsid w:val="00E84436"/>
    <w:rsid w:val="00E859BF"/>
    <w:rsid w:val="00E900AB"/>
    <w:rsid w:val="00E913CA"/>
    <w:rsid w:val="00E92205"/>
    <w:rsid w:val="00E94A95"/>
    <w:rsid w:val="00E94EEE"/>
    <w:rsid w:val="00EA0A9C"/>
    <w:rsid w:val="00EA37DB"/>
    <w:rsid w:val="00EA5121"/>
    <w:rsid w:val="00EA6F69"/>
    <w:rsid w:val="00EA7058"/>
    <w:rsid w:val="00EB00A7"/>
    <w:rsid w:val="00EC2EAE"/>
    <w:rsid w:val="00EC3554"/>
    <w:rsid w:val="00EC749E"/>
    <w:rsid w:val="00EC76A8"/>
    <w:rsid w:val="00ED4290"/>
    <w:rsid w:val="00EE1661"/>
    <w:rsid w:val="00EE4D25"/>
    <w:rsid w:val="00EF12B3"/>
    <w:rsid w:val="00F000DE"/>
    <w:rsid w:val="00F04418"/>
    <w:rsid w:val="00F157E0"/>
    <w:rsid w:val="00F17874"/>
    <w:rsid w:val="00F269D7"/>
    <w:rsid w:val="00F303FB"/>
    <w:rsid w:val="00F30465"/>
    <w:rsid w:val="00F328B8"/>
    <w:rsid w:val="00F347FD"/>
    <w:rsid w:val="00F409AD"/>
    <w:rsid w:val="00F447EE"/>
    <w:rsid w:val="00F44EA6"/>
    <w:rsid w:val="00F51D0F"/>
    <w:rsid w:val="00F53886"/>
    <w:rsid w:val="00F679C4"/>
    <w:rsid w:val="00F748F2"/>
    <w:rsid w:val="00F7671F"/>
    <w:rsid w:val="00F76C1D"/>
    <w:rsid w:val="00F94204"/>
    <w:rsid w:val="00F9750A"/>
    <w:rsid w:val="00FA0020"/>
    <w:rsid w:val="00FA1ED5"/>
    <w:rsid w:val="00FA5680"/>
    <w:rsid w:val="00FB6EC3"/>
    <w:rsid w:val="00FB6FF5"/>
    <w:rsid w:val="00FB7375"/>
    <w:rsid w:val="00FC329C"/>
    <w:rsid w:val="00FC739C"/>
    <w:rsid w:val="00FD1C8D"/>
    <w:rsid w:val="00FD5F31"/>
    <w:rsid w:val="00FD675F"/>
    <w:rsid w:val="00FD682F"/>
    <w:rsid w:val="00FE3333"/>
    <w:rsid w:val="00FF2EB9"/>
    <w:rsid w:val="00FF3893"/>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51C1B"/>
  <w15:chartTrackingRefBased/>
  <w15:docId w15:val="{853DD42E-73E7-42DD-BDD5-AD1FBBFC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84"/>
    <w:pPr>
      <w:spacing w:line="480" w:lineRule="auto"/>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link w:val="BlockQuoteChar"/>
    <w:uiPriority w:val="1"/>
    <w:qFormat/>
    <w:rsid w:val="002C2911"/>
    <w:pPr>
      <w:spacing w:line="240" w:lineRule="auto"/>
      <w:ind w:left="720" w:right="720"/>
    </w:pPr>
  </w:style>
  <w:style w:type="character" w:customStyle="1" w:styleId="BlockQuoteChar">
    <w:name w:val="BlockQuote Char"/>
    <w:basedOn w:val="DefaultParagraphFont"/>
    <w:link w:val="BlockQuote"/>
    <w:uiPriority w:val="1"/>
    <w:rsid w:val="002C2911"/>
    <w:rPr>
      <w:rFonts w:cstheme="minorBidi"/>
      <w:szCs w:val="22"/>
    </w:rPr>
  </w:style>
  <w:style w:type="paragraph" w:styleId="Header">
    <w:name w:val="header"/>
    <w:basedOn w:val="Normal"/>
    <w:link w:val="HeaderChar"/>
    <w:uiPriority w:val="99"/>
    <w:unhideWhenUsed/>
    <w:rsid w:val="00224775"/>
    <w:pPr>
      <w:tabs>
        <w:tab w:val="center" w:pos="4680"/>
        <w:tab w:val="right" w:pos="9360"/>
      </w:tabs>
    </w:pPr>
  </w:style>
  <w:style w:type="character" w:customStyle="1" w:styleId="HeaderChar">
    <w:name w:val="Header Char"/>
    <w:basedOn w:val="DefaultParagraphFont"/>
    <w:link w:val="Header"/>
    <w:uiPriority w:val="99"/>
    <w:rsid w:val="00224775"/>
  </w:style>
  <w:style w:type="paragraph" w:styleId="Footer">
    <w:name w:val="footer"/>
    <w:basedOn w:val="Normal"/>
    <w:link w:val="FooterChar"/>
    <w:uiPriority w:val="99"/>
    <w:unhideWhenUsed/>
    <w:rsid w:val="00224775"/>
    <w:pPr>
      <w:tabs>
        <w:tab w:val="center" w:pos="4680"/>
        <w:tab w:val="right" w:pos="9360"/>
      </w:tabs>
    </w:pPr>
  </w:style>
  <w:style w:type="character" w:customStyle="1" w:styleId="FooterChar">
    <w:name w:val="Footer Char"/>
    <w:basedOn w:val="DefaultParagraphFont"/>
    <w:link w:val="Footer"/>
    <w:uiPriority w:val="99"/>
    <w:rsid w:val="00224775"/>
  </w:style>
  <w:style w:type="paragraph" w:styleId="FootnoteText">
    <w:name w:val="footnote text"/>
    <w:basedOn w:val="Normal"/>
    <w:link w:val="FootnoteTextChar"/>
    <w:uiPriority w:val="99"/>
    <w:unhideWhenUsed/>
    <w:rsid w:val="00F30465"/>
    <w:pPr>
      <w:spacing w:line="240" w:lineRule="auto"/>
    </w:pPr>
    <w:rPr>
      <w:szCs w:val="20"/>
    </w:rPr>
  </w:style>
  <w:style w:type="character" w:customStyle="1" w:styleId="FootnoteTextChar">
    <w:name w:val="Footnote Text Char"/>
    <w:basedOn w:val="DefaultParagraphFont"/>
    <w:link w:val="FootnoteText"/>
    <w:uiPriority w:val="99"/>
    <w:rsid w:val="00F30465"/>
    <w:rPr>
      <w:szCs w:val="20"/>
    </w:rPr>
  </w:style>
  <w:style w:type="paragraph" w:styleId="NoSpacing">
    <w:name w:val="No Spacing"/>
    <w:uiPriority w:val="1"/>
    <w:qFormat/>
    <w:rsid w:val="00F157E0"/>
    <w:rPr>
      <w:rFonts w:cstheme="minorBidi"/>
      <w:szCs w:val="22"/>
    </w:rPr>
  </w:style>
  <w:style w:type="paragraph" w:styleId="Caption">
    <w:name w:val="caption"/>
    <w:basedOn w:val="Normal"/>
    <w:uiPriority w:val="1"/>
    <w:qFormat/>
    <w:rsid w:val="00E43D84"/>
    <w:pPr>
      <w:spacing w:line="240" w:lineRule="auto"/>
      <w:contextualSpacing/>
    </w:pPr>
    <w:rPr>
      <w:iCs/>
      <w:szCs w:val="18"/>
    </w:rPr>
  </w:style>
  <w:style w:type="character" w:styleId="FootnoteReference">
    <w:name w:val="footnote reference"/>
    <w:basedOn w:val="DefaultParagraphFont"/>
    <w:uiPriority w:val="99"/>
    <w:semiHidden/>
    <w:unhideWhenUsed/>
    <w:rsid w:val="00931D7B"/>
    <w:rPr>
      <w:vertAlign w:val="superscript"/>
    </w:rPr>
  </w:style>
  <w:style w:type="table" w:styleId="TableGrid">
    <w:name w:val="Table Grid"/>
    <w:basedOn w:val="TableNormal"/>
    <w:uiPriority w:val="39"/>
    <w:rsid w:val="003D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4EF"/>
    <w:pPr>
      <w:spacing w:line="240" w:lineRule="auto"/>
      <w:ind w:left="720"/>
      <w:contextualSpacing/>
      <w:jc w:val="left"/>
    </w:pPr>
    <w:rPr>
      <w:rFonts w:eastAsia="Times New Roman" w:cs="Times New Roman"/>
      <w:szCs w:val="24"/>
    </w:rPr>
  </w:style>
  <w:style w:type="character" w:styleId="Hyperlink">
    <w:name w:val="Hyperlink"/>
    <w:basedOn w:val="DefaultParagraphFont"/>
    <w:uiPriority w:val="99"/>
    <w:unhideWhenUsed/>
    <w:rsid w:val="002E0C2E"/>
    <w:rPr>
      <w:color w:val="0563C1" w:themeColor="hyperlink"/>
      <w:u w:val="single"/>
    </w:rPr>
  </w:style>
  <w:style w:type="character" w:styleId="UnresolvedMention">
    <w:name w:val="Unresolved Mention"/>
    <w:basedOn w:val="DefaultParagraphFont"/>
    <w:uiPriority w:val="99"/>
    <w:semiHidden/>
    <w:unhideWhenUsed/>
    <w:rsid w:val="002E0C2E"/>
    <w:rPr>
      <w:color w:val="605E5C"/>
      <w:shd w:val="clear" w:color="auto" w:fill="E1DFDD"/>
    </w:rPr>
  </w:style>
  <w:style w:type="character" w:customStyle="1" w:styleId="cosearchterm">
    <w:name w:val="co_searchterm"/>
    <w:basedOn w:val="DefaultParagraphFont"/>
    <w:rsid w:val="00F347FD"/>
  </w:style>
  <w:style w:type="character" w:styleId="Emphasis">
    <w:name w:val="Emphasis"/>
    <w:basedOn w:val="DefaultParagraphFont"/>
    <w:uiPriority w:val="20"/>
    <w:qFormat/>
    <w:rsid w:val="00F34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8051">
      <w:bodyDiv w:val="1"/>
      <w:marLeft w:val="0"/>
      <w:marRight w:val="0"/>
      <w:marTop w:val="0"/>
      <w:marBottom w:val="0"/>
      <w:divBdr>
        <w:top w:val="none" w:sz="0" w:space="0" w:color="auto"/>
        <w:left w:val="none" w:sz="0" w:space="0" w:color="auto"/>
        <w:bottom w:val="none" w:sz="0" w:space="0" w:color="auto"/>
        <w:right w:val="none" w:sz="0" w:space="0" w:color="auto"/>
      </w:divBdr>
    </w:div>
    <w:div w:id="138233758">
      <w:bodyDiv w:val="1"/>
      <w:marLeft w:val="0"/>
      <w:marRight w:val="0"/>
      <w:marTop w:val="0"/>
      <w:marBottom w:val="0"/>
      <w:divBdr>
        <w:top w:val="none" w:sz="0" w:space="0" w:color="auto"/>
        <w:left w:val="none" w:sz="0" w:space="0" w:color="auto"/>
        <w:bottom w:val="none" w:sz="0" w:space="0" w:color="auto"/>
        <w:right w:val="none" w:sz="0" w:space="0" w:color="auto"/>
      </w:divBdr>
    </w:div>
    <w:div w:id="141386030">
      <w:bodyDiv w:val="1"/>
      <w:marLeft w:val="0"/>
      <w:marRight w:val="0"/>
      <w:marTop w:val="0"/>
      <w:marBottom w:val="0"/>
      <w:divBdr>
        <w:top w:val="none" w:sz="0" w:space="0" w:color="auto"/>
        <w:left w:val="none" w:sz="0" w:space="0" w:color="auto"/>
        <w:bottom w:val="none" w:sz="0" w:space="0" w:color="auto"/>
        <w:right w:val="none" w:sz="0" w:space="0" w:color="auto"/>
      </w:divBdr>
    </w:div>
    <w:div w:id="150144005">
      <w:bodyDiv w:val="1"/>
      <w:marLeft w:val="0"/>
      <w:marRight w:val="0"/>
      <w:marTop w:val="0"/>
      <w:marBottom w:val="0"/>
      <w:divBdr>
        <w:top w:val="none" w:sz="0" w:space="0" w:color="auto"/>
        <w:left w:val="none" w:sz="0" w:space="0" w:color="auto"/>
        <w:bottom w:val="none" w:sz="0" w:space="0" w:color="auto"/>
        <w:right w:val="none" w:sz="0" w:space="0" w:color="auto"/>
      </w:divBdr>
    </w:div>
    <w:div w:id="314723705">
      <w:bodyDiv w:val="1"/>
      <w:marLeft w:val="0"/>
      <w:marRight w:val="0"/>
      <w:marTop w:val="0"/>
      <w:marBottom w:val="0"/>
      <w:divBdr>
        <w:top w:val="none" w:sz="0" w:space="0" w:color="auto"/>
        <w:left w:val="none" w:sz="0" w:space="0" w:color="auto"/>
        <w:bottom w:val="none" w:sz="0" w:space="0" w:color="auto"/>
        <w:right w:val="none" w:sz="0" w:space="0" w:color="auto"/>
      </w:divBdr>
    </w:div>
    <w:div w:id="337269524">
      <w:bodyDiv w:val="1"/>
      <w:marLeft w:val="0"/>
      <w:marRight w:val="0"/>
      <w:marTop w:val="0"/>
      <w:marBottom w:val="0"/>
      <w:divBdr>
        <w:top w:val="none" w:sz="0" w:space="0" w:color="auto"/>
        <w:left w:val="none" w:sz="0" w:space="0" w:color="auto"/>
        <w:bottom w:val="none" w:sz="0" w:space="0" w:color="auto"/>
        <w:right w:val="none" w:sz="0" w:space="0" w:color="auto"/>
      </w:divBdr>
    </w:div>
    <w:div w:id="512963218">
      <w:bodyDiv w:val="1"/>
      <w:marLeft w:val="0"/>
      <w:marRight w:val="0"/>
      <w:marTop w:val="0"/>
      <w:marBottom w:val="0"/>
      <w:divBdr>
        <w:top w:val="none" w:sz="0" w:space="0" w:color="auto"/>
        <w:left w:val="none" w:sz="0" w:space="0" w:color="auto"/>
        <w:bottom w:val="none" w:sz="0" w:space="0" w:color="auto"/>
        <w:right w:val="none" w:sz="0" w:space="0" w:color="auto"/>
      </w:divBdr>
    </w:div>
    <w:div w:id="521744458">
      <w:bodyDiv w:val="1"/>
      <w:marLeft w:val="0"/>
      <w:marRight w:val="0"/>
      <w:marTop w:val="0"/>
      <w:marBottom w:val="0"/>
      <w:divBdr>
        <w:top w:val="none" w:sz="0" w:space="0" w:color="auto"/>
        <w:left w:val="none" w:sz="0" w:space="0" w:color="auto"/>
        <w:bottom w:val="none" w:sz="0" w:space="0" w:color="auto"/>
        <w:right w:val="none" w:sz="0" w:space="0" w:color="auto"/>
      </w:divBdr>
    </w:div>
    <w:div w:id="563881406">
      <w:bodyDiv w:val="1"/>
      <w:marLeft w:val="0"/>
      <w:marRight w:val="0"/>
      <w:marTop w:val="0"/>
      <w:marBottom w:val="0"/>
      <w:divBdr>
        <w:top w:val="none" w:sz="0" w:space="0" w:color="auto"/>
        <w:left w:val="none" w:sz="0" w:space="0" w:color="auto"/>
        <w:bottom w:val="none" w:sz="0" w:space="0" w:color="auto"/>
        <w:right w:val="none" w:sz="0" w:space="0" w:color="auto"/>
      </w:divBdr>
    </w:div>
    <w:div w:id="714618809">
      <w:bodyDiv w:val="1"/>
      <w:marLeft w:val="0"/>
      <w:marRight w:val="0"/>
      <w:marTop w:val="0"/>
      <w:marBottom w:val="0"/>
      <w:divBdr>
        <w:top w:val="none" w:sz="0" w:space="0" w:color="auto"/>
        <w:left w:val="none" w:sz="0" w:space="0" w:color="auto"/>
        <w:bottom w:val="none" w:sz="0" w:space="0" w:color="auto"/>
        <w:right w:val="none" w:sz="0" w:space="0" w:color="auto"/>
      </w:divBdr>
    </w:div>
    <w:div w:id="735664794">
      <w:bodyDiv w:val="1"/>
      <w:marLeft w:val="0"/>
      <w:marRight w:val="0"/>
      <w:marTop w:val="0"/>
      <w:marBottom w:val="0"/>
      <w:divBdr>
        <w:top w:val="none" w:sz="0" w:space="0" w:color="auto"/>
        <w:left w:val="none" w:sz="0" w:space="0" w:color="auto"/>
        <w:bottom w:val="none" w:sz="0" w:space="0" w:color="auto"/>
        <w:right w:val="none" w:sz="0" w:space="0" w:color="auto"/>
      </w:divBdr>
    </w:div>
    <w:div w:id="769161960">
      <w:bodyDiv w:val="1"/>
      <w:marLeft w:val="0"/>
      <w:marRight w:val="0"/>
      <w:marTop w:val="0"/>
      <w:marBottom w:val="0"/>
      <w:divBdr>
        <w:top w:val="none" w:sz="0" w:space="0" w:color="auto"/>
        <w:left w:val="none" w:sz="0" w:space="0" w:color="auto"/>
        <w:bottom w:val="none" w:sz="0" w:space="0" w:color="auto"/>
        <w:right w:val="none" w:sz="0" w:space="0" w:color="auto"/>
      </w:divBdr>
    </w:div>
    <w:div w:id="782112337">
      <w:bodyDiv w:val="1"/>
      <w:marLeft w:val="0"/>
      <w:marRight w:val="0"/>
      <w:marTop w:val="0"/>
      <w:marBottom w:val="0"/>
      <w:divBdr>
        <w:top w:val="none" w:sz="0" w:space="0" w:color="auto"/>
        <w:left w:val="none" w:sz="0" w:space="0" w:color="auto"/>
        <w:bottom w:val="none" w:sz="0" w:space="0" w:color="auto"/>
        <w:right w:val="none" w:sz="0" w:space="0" w:color="auto"/>
      </w:divBdr>
    </w:div>
    <w:div w:id="800225168">
      <w:bodyDiv w:val="1"/>
      <w:marLeft w:val="0"/>
      <w:marRight w:val="0"/>
      <w:marTop w:val="0"/>
      <w:marBottom w:val="0"/>
      <w:divBdr>
        <w:top w:val="none" w:sz="0" w:space="0" w:color="auto"/>
        <w:left w:val="none" w:sz="0" w:space="0" w:color="auto"/>
        <w:bottom w:val="none" w:sz="0" w:space="0" w:color="auto"/>
        <w:right w:val="none" w:sz="0" w:space="0" w:color="auto"/>
      </w:divBdr>
    </w:div>
    <w:div w:id="1146243722">
      <w:bodyDiv w:val="1"/>
      <w:marLeft w:val="0"/>
      <w:marRight w:val="0"/>
      <w:marTop w:val="0"/>
      <w:marBottom w:val="0"/>
      <w:divBdr>
        <w:top w:val="none" w:sz="0" w:space="0" w:color="auto"/>
        <w:left w:val="none" w:sz="0" w:space="0" w:color="auto"/>
        <w:bottom w:val="none" w:sz="0" w:space="0" w:color="auto"/>
        <w:right w:val="none" w:sz="0" w:space="0" w:color="auto"/>
      </w:divBdr>
    </w:div>
    <w:div w:id="1236819088">
      <w:bodyDiv w:val="1"/>
      <w:marLeft w:val="0"/>
      <w:marRight w:val="0"/>
      <w:marTop w:val="0"/>
      <w:marBottom w:val="0"/>
      <w:divBdr>
        <w:top w:val="none" w:sz="0" w:space="0" w:color="auto"/>
        <w:left w:val="none" w:sz="0" w:space="0" w:color="auto"/>
        <w:bottom w:val="none" w:sz="0" w:space="0" w:color="auto"/>
        <w:right w:val="none" w:sz="0" w:space="0" w:color="auto"/>
      </w:divBdr>
    </w:div>
    <w:div w:id="1447000580">
      <w:bodyDiv w:val="1"/>
      <w:marLeft w:val="0"/>
      <w:marRight w:val="0"/>
      <w:marTop w:val="0"/>
      <w:marBottom w:val="0"/>
      <w:divBdr>
        <w:top w:val="none" w:sz="0" w:space="0" w:color="auto"/>
        <w:left w:val="none" w:sz="0" w:space="0" w:color="auto"/>
        <w:bottom w:val="none" w:sz="0" w:space="0" w:color="auto"/>
        <w:right w:val="none" w:sz="0" w:space="0" w:color="auto"/>
      </w:divBdr>
    </w:div>
    <w:div w:id="1780105307">
      <w:bodyDiv w:val="1"/>
      <w:marLeft w:val="0"/>
      <w:marRight w:val="0"/>
      <w:marTop w:val="0"/>
      <w:marBottom w:val="0"/>
      <w:divBdr>
        <w:top w:val="none" w:sz="0" w:space="0" w:color="auto"/>
        <w:left w:val="none" w:sz="0" w:space="0" w:color="auto"/>
        <w:bottom w:val="none" w:sz="0" w:space="0" w:color="auto"/>
        <w:right w:val="none" w:sz="0" w:space="0" w:color="auto"/>
      </w:divBdr>
    </w:div>
    <w:div w:id="2005160253">
      <w:bodyDiv w:val="1"/>
      <w:marLeft w:val="0"/>
      <w:marRight w:val="0"/>
      <w:marTop w:val="0"/>
      <w:marBottom w:val="0"/>
      <w:divBdr>
        <w:top w:val="none" w:sz="0" w:space="0" w:color="auto"/>
        <w:left w:val="none" w:sz="0" w:space="0" w:color="auto"/>
        <w:bottom w:val="none" w:sz="0" w:space="0" w:color="auto"/>
        <w:right w:val="none" w:sz="0" w:space="0" w:color="auto"/>
      </w:divBdr>
    </w:div>
    <w:div w:id="20210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s25\AppData\Roaming\Microsoft\Templates\ord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5FD8-CBE3-466E-9988-5A2407E0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template</Template>
  <TotalTime>1</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 Distrit Court</dc:creator>
  <cp:keywords/>
  <dc:description/>
  <cp:lastModifiedBy>Leah Gibbons</cp:lastModifiedBy>
  <cp:revision>2</cp:revision>
  <cp:lastPrinted>2024-03-28T18:48:00Z</cp:lastPrinted>
  <dcterms:created xsi:type="dcterms:W3CDTF">2024-05-20T14:35:00Z</dcterms:created>
  <dcterms:modified xsi:type="dcterms:W3CDTF">2024-05-20T14:35:00Z</dcterms:modified>
</cp:coreProperties>
</file>